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1" w:rsidRPr="00431361" w:rsidRDefault="00431361" w:rsidP="00307837">
      <w:pPr>
        <w:pStyle w:val="2"/>
        <w:rPr>
          <w:rFonts w:eastAsia="Times New Roman"/>
          <w:lang w:val="kk-KZ"/>
        </w:rPr>
      </w:pPr>
      <w:bookmarkStart w:id="0" w:name="_GoBack"/>
      <w:bookmarkEnd w:id="0"/>
      <w:r w:rsidRPr="00431361">
        <w:rPr>
          <w:rFonts w:eastAsia="Times New Roman"/>
          <w:lang w:val="kk-KZ"/>
        </w:rPr>
        <w:t>Күні</w:t>
      </w:r>
      <w:r w:rsidRPr="00431361">
        <w:rPr>
          <w:rFonts w:eastAsia="Times New Roman"/>
        </w:rPr>
        <w:t>___</w:t>
      </w:r>
      <w:r w:rsidRPr="00431361">
        <w:rPr>
          <w:rFonts w:eastAsia="Times New Roman"/>
          <w:spacing w:val="1"/>
        </w:rPr>
        <w:t>_</w:t>
      </w:r>
      <w:r w:rsidRPr="00431361">
        <w:rPr>
          <w:rFonts w:eastAsia="Times New Roman"/>
        </w:rPr>
        <w:t>__</w:t>
      </w:r>
      <w:r w:rsidRPr="00431361">
        <w:rPr>
          <w:rFonts w:eastAsia="Times New Roman"/>
          <w:spacing w:val="1"/>
        </w:rPr>
        <w:t>М</w:t>
      </w:r>
      <w:r w:rsidRPr="00431361">
        <w:rPr>
          <w:rFonts w:eastAsia="Times New Roman"/>
          <w:spacing w:val="1"/>
          <w:lang w:val="kk-KZ"/>
        </w:rPr>
        <w:t xml:space="preserve">өр орны </w: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rPr>
          <w:rFonts w:ascii="Times New Roman" w:hAnsi="Times New Roman" w:cs="Times New Roman"/>
          <w:sz w:val="28"/>
          <w:szCs w:val="28"/>
        </w:rPr>
        <w:sectPr w:rsidR="008D3D30" w:rsidRPr="0037375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8D3D30" w:rsidRPr="00373751" w:rsidRDefault="00515B20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34E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737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="00D34EE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8D3D30" w:rsidRPr="00373751" w:rsidRDefault="00515B20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51">
        <w:rPr>
          <w:rFonts w:ascii="Times New Roman" w:hAnsi="Times New Roman" w:cs="Times New Roman"/>
          <w:sz w:val="28"/>
          <w:szCs w:val="28"/>
        </w:rPr>
        <w:br w:type="column"/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737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3737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8D3D30" w:rsidRPr="00373751" w:rsidRDefault="008D3D30">
      <w:pPr>
        <w:rPr>
          <w:rFonts w:ascii="Times New Roman" w:hAnsi="Times New Roman" w:cs="Times New Roman"/>
          <w:sz w:val="28"/>
          <w:szCs w:val="28"/>
        </w:rPr>
        <w:sectPr w:rsidR="008D3D30" w:rsidRPr="00373751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8D3D30" w:rsidRPr="00373751" w:rsidRDefault="008D3D30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431361" w:rsidRPr="00431361" w:rsidRDefault="00431361" w:rsidP="00431361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431361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 w:rsidP="00150B27">
      <w:pPr>
        <w:tabs>
          <w:tab w:val="left" w:pos="3465"/>
        </w:tabs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  <w:lang w:val="kk-KZ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>
      <w:pPr>
        <w:spacing w:after="7" w:line="12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832F6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val="kk-KZ"/>
        </w:rPr>
      </w:pPr>
      <w:r w:rsidRPr="00373751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373751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 w:rsidR="00515B20" w:rsidRPr="003737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97" behindDoc="1" locked="0" layoutInCell="0" allowOverlap="1" wp14:anchorId="4BBD47C1" wp14:editId="3776A555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8D3D30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Default="0043136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Default="008D3D30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D3D30" w:rsidRDefault="00515B20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ед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8D3D3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Pr="008832F6" w:rsidRDefault="008832F6" w:rsidP="008832F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Pr="008832F6" w:rsidRDefault="00515B2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F26F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3"/>
                                      <w:szCs w:val="23"/>
                                      <w:lang w:val="kk-KZ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ОХФК</w:t>
                                  </w:r>
                                  <w:r w:rsidR="00EF26F1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»</w:t>
                                  </w:r>
                                  <w:r w:rsidR="008832F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ЖАҚ</w:t>
                                  </w:r>
                                </w:p>
                              </w:tc>
                            </w:tr>
                            <w:tr w:rsidR="008D3D30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Pr="008832F6" w:rsidRDefault="008832F6" w:rsidP="008832F6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D3D30" w:rsidRPr="008832F6" w:rsidRDefault="00515B2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 w:rsidR="008832F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ЕСЕЙ</w:t>
                                  </w:r>
                                </w:p>
                              </w:tc>
                            </w:tr>
                          </w:tbl>
                          <w:p w:rsidR="00FB3B04" w:rsidRDefault="00FB3B0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8D3D30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Default="0043136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Default="008D3D30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D3D30" w:rsidRDefault="00515B20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ед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8D3D3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Pr="008832F6" w:rsidRDefault="008832F6" w:rsidP="008832F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Pr="008832F6" w:rsidRDefault="00515B2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F26F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3"/>
                                <w:szCs w:val="23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ОХФК</w:t>
                            </w:r>
                            <w:r w:rsidR="00EF26F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»</w:t>
                            </w:r>
                            <w:r w:rsidR="008832F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 xml:space="preserve"> ЖАҚ</w:t>
                            </w:r>
                          </w:p>
                        </w:tc>
                      </w:tr>
                      <w:tr w:rsidR="008D3D30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Pr="008832F6" w:rsidRDefault="008832F6" w:rsidP="008832F6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D3D30" w:rsidRPr="008832F6" w:rsidRDefault="00515B2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 w:rsidR="008832F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ЕСЕЙ</w:t>
                            </w:r>
                          </w:p>
                        </w:tc>
                      </w:tr>
                    </w:tbl>
                    <w:p w:rsidR="00FB3B04" w:rsidRDefault="00FB3B04"/>
                  </w:txbxContent>
                </v:textbox>
                <w10:wrap anchorx="page"/>
              </v:shape>
            </w:pict>
          </mc:Fallback>
        </mc:AlternateConten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D3D30" w:rsidRPr="00373751" w:rsidRDefault="008D3D30">
      <w:pPr>
        <w:spacing w:after="2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p w:rsidR="008832F6" w:rsidRPr="008832F6" w:rsidRDefault="008832F6" w:rsidP="008832F6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832F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1</w:t>
      </w:r>
      <w:r w:rsidRPr="008832F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8832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832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8D3D30" w:rsidRPr="00373751" w:rsidRDefault="008D3D30">
      <w:pPr>
        <w:spacing w:after="5" w:line="140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8D3D30" w:rsidRPr="00373751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515B2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832F6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8D3D30" w:rsidRPr="00373751" w:rsidRDefault="008D3D30">
      <w:pPr>
        <w:spacing w:after="3" w:line="220" w:lineRule="exact"/>
        <w:rPr>
          <w:rFonts w:ascii="Times New Roman" w:hAnsi="Times New Roman" w:cs="Times New Roman"/>
          <w:sz w:val="28"/>
          <w:szCs w:val="28"/>
        </w:rPr>
      </w:pPr>
    </w:p>
    <w:p w:rsidR="008832F6" w:rsidRPr="008832F6" w:rsidRDefault="008832F6" w:rsidP="008832F6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8832F6">
        <w:rPr>
          <w:rFonts w:ascii="Times New Roman" w:eastAsia="Times New Roman" w:hAnsi="Times New Roman" w:cs="Times New Roman"/>
          <w:color w:val="000000"/>
          <w:spacing w:val="-4"/>
          <w:w w:val="103"/>
          <w:sz w:val="28"/>
          <w:szCs w:val="28"/>
        </w:rPr>
        <w:t>2</w:t>
      </w:r>
      <w:r w:rsidRPr="008832F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.</w:t>
      </w:r>
      <w:r w:rsidRPr="008832F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832F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8D3D30" w:rsidRPr="00373751" w:rsidRDefault="008D3D30">
      <w:pPr>
        <w:spacing w:line="32" w:lineRule="exact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8D3D30" w:rsidRPr="00373751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515B2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2304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8D3D30" w:rsidRPr="00373751">
        <w:trPr>
          <w:cantSplit/>
          <w:trHeight w:hRule="exact" w:val="50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515B2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23049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23049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056"/>
                <w:tab w:val="left" w:pos="2871"/>
                <w:tab w:val="left" w:pos="3718"/>
                <w:tab w:val="left" w:pos="4377"/>
                <w:tab w:val="left" w:pos="5044"/>
                <w:tab w:val="left" w:pos="6085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Белсенді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ретінде-пранобекс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инозин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Инозин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Ацедобен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Димепранол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инозин мен 4-ацетамидобензой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қышқылының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n, n-диметиламино-2-пропанолмен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молярлық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қатынаста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1:3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қосындысы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табылады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Инозин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пуриндердің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метаболикалық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тізбегінде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жасушалар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ұлпа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сұйықтықтарында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әртүрлі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бірақ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 </w:t>
            </w:r>
            <w:proofErr w:type="spellStart"/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өлшерде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табиғи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нуклеозид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болып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табылады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БФС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физикалы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қасиеттері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ақпарат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субстанциялардың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жеткілікті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көлемде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сапа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тұрақтылығын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дәлелдейді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өнімнің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біртектілігі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сериядан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сақталады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бақылауда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субстанция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қолданылатын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әдістерінің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барабарлығын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растайды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 БФС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өнімде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ұсынылады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3D30" w:rsidRPr="00373751" w:rsidRDefault="008D3D30">
      <w:pPr>
        <w:rPr>
          <w:rFonts w:ascii="Times New Roman" w:hAnsi="Times New Roman" w:cs="Times New Roman"/>
          <w:sz w:val="28"/>
          <w:szCs w:val="28"/>
        </w:rPr>
        <w:sectPr w:rsidR="008D3D30" w:rsidRPr="00373751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8D3D30" w:rsidRPr="00373751" w:rsidTr="00685555">
        <w:trPr>
          <w:cantSplit/>
          <w:trHeight w:hRule="exact" w:val="3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8D3D30">
            <w:pPr>
              <w:spacing w:after="6" w:line="1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D30" w:rsidRPr="00373751" w:rsidRDefault="00515B2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23049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685555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Препараттың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құрамында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Республикасының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аумағында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қолдануға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тыйым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салынған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бояғыштар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адам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жануарлардан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алынатын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қосымша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қосалқы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заттардың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фармакопеялық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талаптарға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келеді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бұл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сертификаттарымен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(ЕФ 9.5, БФ 2017).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Құрам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жүргізілген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барысында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іріктелді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әрбі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заттың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мақсатына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сәйкес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негізделді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компоненттердің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үйлесімділігі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тұрақтылықты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зерделеу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жөніндегі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деректермен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расталды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D3D30" w:rsidRPr="00373751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515B2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685555" w:rsidP="00685555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ілік </w:t>
            </w:r>
            <w:r w:rsidR="00515B20"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515B20"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="00515B20"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="00515B20"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515B20"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685555" w:rsidRPr="00373751" w:rsidTr="00685555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555" w:rsidRPr="00373751" w:rsidRDefault="00685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555" w:rsidRPr="00373751" w:rsidRDefault="00685555" w:rsidP="000B04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5555" w:rsidRPr="00373751" w:rsidRDefault="00AD2551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GMP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қанағаттандыратын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өндіріс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процесінің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сипаттамасы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Валидациялық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сынақтардың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нәтижелері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көрсетеді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дайын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өнімге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фирманың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спецификациясының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барлық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параметрлері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бойынша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келетін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серия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ғ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алуға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мүмкіндік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береді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AD2551" w:rsidRPr="00373751" w:rsidTr="00685555">
        <w:trPr>
          <w:cantSplit/>
          <w:trHeight w:hRule="exact" w:val="390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AD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AD2551" w:rsidP="000B04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AD2551">
            <w:pPr>
              <w:spacing w:after="11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Е 9.5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стандарттары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ich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Q2, Q6A, Q3А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басшылығы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шеңберінде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ерекшеліктің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негіздемесі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препараттың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қолданылатын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талдау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әдістерінің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барабарлығын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дәлелдейді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AD2551" w:rsidRPr="00373751" w:rsidRDefault="00AD2551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Талдамалық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жүргізілген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валидациясының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нәтижелері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мәлімделген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дәрілік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заттың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сапасын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әдеттегі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бақылау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үшін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әдістемелерді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қолдану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мүмкіндігін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растайды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  <w:p w:rsidR="00AD2551" w:rsidRPr="00373751" w:rsidRDefault="00AD2551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Үш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бі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ізді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ұсынылған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сертификаттары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өнімнің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біртектілігі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сериядан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серияға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дейін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сақталатынын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бақылауда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екенін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дәлелдейді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AD2551" w:rsidRPr="00307837" w:rsidTr="00685555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AD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156CF5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2551" w:rsidRPr="00373751" w:rsidRDefault="00156CF5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Тұрақтылықты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сынау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ICH Q1A (R2), Q1C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талаптарына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жүргізілді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Бастапқы қаптама мәлімделген деректерге сәйкес келеді. </w:t>
            </w:r>
          </w:p>
          <w:p w:rsidR="00AD2551" w:rsidRPr="00373751" w:rsidRDefault="00AD2551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D2551" w:rsidRPr="00373751" w:rsidRDefault="00BE2B4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Тұрақтылықты ұзақ мерзімді зерттеу нәтижелеріне сәйкес дайын препарат сапасының сыни көрсеткіштерінің елеулі өзгерістері байқалмайды.</w:t>
            </w:r>
          </w:p>
          <w:p w:rsidR="00AD2551" w:rsidRPr="00373751" w:rsidRDefault="0042589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 Сипаттамасы өзіндік ерекшелік  талаптарына сәйкес келеді;</w:t>
            </w:r>
          </w:p>
          <w:p w:rsidR="00AD2551" w:rsidRPr="00373751" w:rsidRDefault="0042589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Қоспалардың құрамы </w:t>
            </w:r>
            <w:r w:rsidR="00B2748C"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өзіндік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ерекшелік  шегінде болуы;</w:t>
            </w:r>
          </w:p>
          <w:p w:rsidR="00AD2551" w:rsidRPr="00373751" w:rsidRDefault="00AD2551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 w:firstLine="7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ab/>
            </w:r>
            <w:r w:rsidR="00B2748C"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Әсер етуші заттың сандық құрамының елеулі өзгерістері байқалмайды.</w:t>
            </w:r>
          </w:p>
          <w:p w:rsidR="00AD2551" w:rsidRPr="00373751" w:rsidRDefault="00AD2551">
            <w:pPr>
              <w:spacing w:after="12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AD2551" w:rsidRPr="00373751" w:rsidRDefault="00B2748C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Препараттың тұрақтылығын зерттеу нәтижелері мәлімделген сақтау мерзімін 3 жыл растайды.</w:t>
            </w:r>
          </w:p>
        </w:tc>
      </w:tr>
    </w:tbl>
    <w:p w:rsidR="008D3D30" w:rsidRPr="00373751" w:rsidRDefault="008D3D30">
      <w:pPr>
        <w:rPr>
          <w:rFonts w:ascii="Times New Roman" w:hAnsi="Times New Roman" w:cs="Times New Roman"/>
          <w:sz w:val="28"/>
          <w:szCs w:val="28"/>
          <w:lang w:val="kk-KZ"/>
        </w:rPr>
        <w:sectPr w:rsidR="008D3D30" w:rsidRPr="00373751">
          <w:pgSz w:w="11905" w:h="16837"/>
          <w:pgMar w:top="560" w:right="850" w:bottom="1134" w:left="1133" w:header="0" w:footer="0" w:gutter="0"/>
          <w:cols w:space="708"/>
        </w:sectPr>
      </w:pPr>
    </w:p>
    <w:p w:rsidR="008D3D30" w:rsidRPr="00373751" w:rsidRDefault="00E2509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Клиника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ға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дейінгі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аспектілер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8D3D30" w:rsidRPr="00373751" w:rsidRDefault="008D3D30">
      <w:pPr>
        <w:spacing w:after="10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515B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1446" behindDoc="1" locked="0" layoutInCell="0" allowOverlap="1" wp14:anchorId="5DB18F22" wp14:editId="7FCD02B5">
                <wp:simplePos x="0" y="0"/>
                <wp:positionH relativeFrom="page">
                  <wp:posOffset>719962</wp:posOffset>
                </wp:positionH>
                <wp:positionV relativeFrom="paragraph">
                  <wp:posOffset>-413180</wp:posOffset>
                </wp:positionV>
                <wp:extent cx="6264020" cy="752767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0" cy="7527671"/>
                          <a:chOff x="0" y="0"/>
                          <a:chExt cx="6264020" cy="752767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432054" cy="10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1004443">
                                <a:moveTo>
                                  <a:pt x="0" y="1004443"/>
                                </a:moveTo>
                                <a:lnTo>
                                  <a:pt x="432054" y="1004443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4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2054" y="0"/>
                            <a:ext cx="1871979" cy="10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1004443">
                                <a:moveTo>
                                  <a:pt x="0" y="1004443"/>
                                </a:moveTo>
                                <a:lnTo>
                                  <a:pt x="1871979" y="1004443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4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304033" y="0"/>
                            <a:ext cx="3959986" cy="1004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1004443">
                                <a:moveTo>
                                  <a:pt x="0" y="1004443"/>
                                </a:moveTo>
                                <a:lnTo>
                                  <a:pt x="3959986" y="1004443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4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004444"/>
                            <a:ext cx="432054" cy="318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3189604">
                                <a:moveTo>
                                  <a:pt x="0" y="3189604"/>
                                </a:moveTo>
                                <a:lnTo>
                                  <a:pt x="432054" y="3189604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9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32054" y="1004444"/>
                            <a:ext cx="1871979" cy="318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3189604">
                                <a:moveTo>
                                  <a:pt x="0" y="3189604"/>
                                </a:moveTo>
                                <a:lnTo>
                                  <a:pt x="1871979" y="3189604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9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304033" y="1004444"/>
                            <a:ext cx="3959986" cy="318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3189604">
                                <a:moveTo>
                                  <a:pt x="0" y="3189604"/>
                                </a:moveTo>
                                <a:lnTo>
                                  <a:pt x="3959986" y="3189604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9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194048"/>
                            <a:ext cx="432054" cy="311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3117595">
                                <a:moveTo>
                                  <a:pt x="0" y="3117595"/>
                                </a:moveTo>
                                <a:lnTo>
                                  <a:pt x="432054" y="3117595"/>
                                </a:lnTo>
                                <a:lnTo>
                                  <a:pt x="432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32054" y="4194048"/>
                            <a:ext cx="1871979" cy="311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979" h="3117595">
                                <a:moveTo>
                                  <a:pt x="0" y="3117595"/>
                                </a:moveTo>
                                <a:lnTo>
                                  <a:pt x="1871979" y="3117595"/>
                                </a:lnTo>
                                <a:lnTo>
                                  <a:pt x="18719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04033" y="4194048"/>
                            <a:ext cx="3959986" cy="311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6" h="3117595">
                                <a:moveTo>
                                  <a:pt x="0" y="3117595"/>
                                </a:moveTo>
                                <a:lnTo>
                                  <a:pt x="3959986" y="3117595"/>
                                </a:lnTo>
                                <a:lnTo>
                                  <a:pt x="3959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7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311644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2054" y="7311644"/>
                            <a:ext cx="0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026">
                                <a:moveTo>
                                  <a:pt x="0" y="216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7311644"/>
                            <a:ext cx="43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2054" y="7311644"/>
                            <a:ext cx="5831966" cy="21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966" h="216026">
                                <a:moveTo>
                                  <a:pt x="0" y="216026"/>
                                </a:moveTo>
                                <a:lnTo>
                                  <a:pt x="5831966" y="216026"/>
                                </a:lnTo>
                                <a:lnTo>
                                  <a:pt x="5831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4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6" style="position:absolute;margin-left:56.7pt;margin-top:-32.55pt;width:493.25pt;height:592.75pt;z-index:-503315034;mso-position-horizontal-relative:page" coordsize="62640,7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" o:allowincell="f">
                <v:shape id="Shape 3" o:spid="_x0000_s1027" style="position:absolute;width:4320;height:10044;visibility:visible;mso-wrap-style:square;v-text-anchor:top" coordsize="432054,1004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QwsMA&#10;AADaAAAADwAAAGRycy9kb3ducmV2LnhtbESPQWvCQBSE70L/w/IKvemmKkVSV2kD2p6EJl56e2Sf&#10;SUz2bZpd4/bfu4WCx2FmvmHW22A6MdLgGssKnmcJCOLS6oYrBcdiN12BcB5ZY2eZFPySg+3mYbLG&#10;VNsrf9GY+0pECLsUFdTe96mUrqzJoJvZnjh6JzsY9FEOldQDXiPcdHKeJC/SYMNxocaesprKNr8Y&#10;Bd9793E+vIc2L8YDhj7Jd8ufTKmnx/D2CsJT8Pfwf/tTK1jA35V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cQwsMAAADaAAAADwAAAAAAAAAAAAAAAACYAgAAZHJzL2Rv&#10;d25yZXYueG1sUEsFBgAAAAAEAAQA9QAAAIgDAAAAAA==&#10;" path="m,1004443r432054,l432054,,,,,1004443xe" filled="f" strokeweight=".22928mm">
                  <v:stroke endcap="square"/>
                  <v:path arrowok="t" textboxrect="0,0,432054,1004443"/>
                </v:shape>
                <v:shape id="Shape 4" o:spid="_x0000_s1028" style="position:absolute;left:4320;width:18720;height:10044;visibility:visible;mso-wrap-style:square;v-text-anchor:top" coordsize="1871979,1004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Tn8IA&#10;AADaAAAADwAAAGRycy9kb3ducmV2LnhtbESPzWrDMBCE74W+g9hAb42cYkpwooQkkNJTwa4vuS3S&#10;xnZirVxL9c/bV4VCj8PMfMNs95NtxUC9bxwrWC0TEMTamYYrBeXn+XkNwgdkg61jUjCTh/3u8WGL&#10;mXEj5zQUoRIRwj5DBXUIXSal1zVZ9EvXEUfv6nqLIcq+kqbHMcJtK1+S5FVabDgu1NjRqSZ9L76t&#10;gly+2Sblr8tYfjit5+N6vnmv1NNiOmxABJrCf/iv/W4UpPB7Jd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1OfwgAAANoAAAAPAAAAAAAAAAAAAAAAAJgCAABkcnMvZG93&#10;bnJldi54bWxQSwUGAAAAAAQABAD1AAAAhwMAAAAA&#10;" path="m,1004443r1871979,l1871979,,,,,1004443xe" filled="f" strokeweight=".22928mm">
                  <v:stroke endcap="square"/>
                  <v:path arrowok="t" textboxrect="0,0,1871979,1004443"/>
                </v:shape>
                <v:shape id="Shape 5" o:spid="_x0000_s1029" style="position:absolute;left:23040;width:39600;height:10044;visibility:visible;mso-wrap-style:square;v-text-anchor:top" coordsize="3959986,1004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VTsQA&#10;AADaAAAADwAAAGRycy9kb3ducmV2LnhtbESPQU8CMRSE7yT8h+aRcJOuEkFXChGMiXgTTLg+2+d2&#10;4/Z12ZbdlV9vSUw4Tmbmm8xi1btKtNSE0rOC20kGglh7U3Kh4HP/evMAIkRkg5VnUvBLAVbL4WCB&#10;ufEdf1C7i4VIEA45KrAx1rmUQVtyGCa+Jk7et28cxiSbQpoGuwR3lbzLspl0WHJasFjTxpL+2Z2c&#10;gvP50ban9XG7PXxNO9Ivx8Ncvys1HvXPTyAi9fEa/m+/GQX3cLm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qlU7EAAAA2gAAAA8AAAAAAAAAAAAAAAAAmAIAAGRycy9k&#10;b3ducmV2LnhtbFBLBQYAAAAABAAEAPUAAACJAwAAAAA=&#10;" path="m,1004443r3959986,l3959986,,,,,1004443xe" filled="f" strokeweight=".22928mm">
                  <v:stroke endcap="square"/>
                  <v:path arrowok="t" textboxrect="0,0,3959986,1004443"/>
                </v:shape>
                <v:shape id="Shape 6" o:spid="_x0000_s1030" style="position:absolute;top:10044;width:4320;height:31896;visibility:visible;mso-wrap-style:square;v-text-anchor:top" coordsize="432054,318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7qg8MA&#10;AADaAAAADwAAAGRycy9kb3ducmV2LnhtbESPS2vDMBCE74H+B7GFXEwjtwcT3CihNLRNL4a87ou1&#10;sZ1YKyOpfvz7qlDIcZiZb5jVZjSt6Mn5xrKC50UKgri0uuFKwen48bQE4QOyxtYyKZjIw2b9MFth&#10;ru3Ae+oPoRIRwj5HBXUIXS6lL2sy6Be2I47exTqDIUpXSe1wiHDTypc0zaTBhuNCjR2911TeDj9G&#10;QXKVx21y+dwWdupcev4uvsYsUWr+OL69ggg0hnv4v73TCjL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7qg8MAAADaAAAADwAAAAAAAAAAAAAAAACYAgAAZHJzL2Rv&#10;d25yZXYueG1sUEsFBgAAAAAEAAQA9QAAAIgDAAAAAA==&#10;" path="m,3189604r432054,l432054,,,,,3189604xe" filled="f" strokeweight=".22928mm">
                  <v:stroke endcap="square"/>
                  <v:path arrowok="t" textboxrect="0,0,432054,3189604"/>
                </v:shape>
                <v:shape id="Shape 7" o:spid="_x0000_s1031" style="position:absolute;left:4320;top:10044;width:18720;height:31896;visibility:visible;mso-wrap-style:square;v-text-anchor:top" coordsize="1871979,318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KcsEA&#10;AADaAAAADwAAAGRycy9kb3ducmV2LnhtbESPQWvCQBSE70L/w/IKvYhu2pBWUldpA4LXxvb+yL4m&#10;wezbJPuq8d+7gtDjMDPfMOvt5Dp1ojG0ng08LxNQxJW3LdcGvg+7xQpUEGSLnWcycKEA283DbI25&#10;9Wf+olMptYoQDjkaaET6XOtQNeQwLH1PHL1fPzqUKMda2xHPEe46/ZIkr9phy3GhwZ6Khqpj+ecM&#10;HFKRzIas+pzmhf7h45AO/WDM0+P08Q5KaJL/8L29twbe4HYl3gC9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5CnLBAAAA2gAAAA8AAAAAAAAAAAAAAAAAmAIAAGRycy9kb3du&#10;cmV2LnhtbFBLBQYAAAAABAAEAPUAAACGAwAAAAA=&#10;" path="m,3189604r1871979,l1871979,,,,,3189604xe" filled="f" strokeweight=".22928mm">
                  <v:stroke endcap="square"/>
                  <v:path arrowok="t" textboxrect="0,0,1871979,3189604"/>
                </v:shape>
                <v:shape id="Shape 8" o:spid="_x0000_s1032" style="position:absolute;left:23040;top:10044;width:39600;height:31896;visibility:visible;mso-wrap-style:square;v-text-anchor:top" coordsize="3959986,3189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8UMIA&#10;AADaAAAADwAAAGRycy9kb3ducmV2LnhtbESPT4vCMBTE7wt+h/AEb9tUhUW6RpFVQWEv/kHY26N5&#10;2xSbl9rEWr+9EQSPw8xvhpnOO1uJlhpfOlYwTFIQxLnTJRcKjof15wSED8gaK8ek4E4e5rPexxQz&#10;7W68o3YfChFL2GeowIRQZ1L63JBFn7iaOHr/rrEYomwKqRu8xXJbyVGafkmLJccFgzX9GMrP+6tV&#10;MKkuK4Pn+9a3q9HvWC5Of93SKjXod4tvEIG68A6/6I2OHDyvxBs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TxQwgAAANoAAAAPAAAAAAAAAAAAAAAAAJgCAABkcnMvZG93&#10;bnJldi54bWxQSwUGAAAAAAQABAD1AAAAhwMAAAAA&#10;" path="m,3189604r3959986,l3959986,,,,,3189604xe" filled="f" strokeweight=".22928mm">
                  <v:stroke endcap="square"/>
                  <v:path arrowok="t" textboxrect="0,0,3959986,3189604"/>
                </v:shape>
                <v:shape id="Shape 9" o:spid="_x0000_s1033" style="position:absolute;top:41940;width:4320;height:31176;visibility:visible;mso-wrap-style:square;v-text-anchor:top" coordsize="432054,311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ZfMEA&#10;AADaAAAADwAAAGRycy9kb3ducmV2LnhtbESPQYvCMBSE78L+h/AEb5rqQd1qlLIgeBK0C+7xkTzb&#10;YvMSmqh1f/1GEPY4zMw3zHrb21bcqQuNYwXTSQaCWDvTcKXgu9yNlyBCRDbYOiYFTwqw3XwM1pgb&#10;9+Aj3U+xEgnCIUcFdYw+lzLomiyGifPEybu4zmJMsquk6fCR4LaVsyybS4sNp4UaPX3VpK+nm1Xg&#10;L9qXXBx+TFYeirNe/PLyWSo1GvbFCkSkPv6H3+29UfAJryvpBs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WXzBAAAA2gAAAA8AAAAAAAAAAAAAAAAAmAIAAGRycy9kb3du&#10;cmV2LnhtbFBLBQYAAAAABAAEAPUAAACGAwAAAAA=&#10;" path="m,3117595r432054,l432054,,,,,3117595xe" filled="f" strokeweight=".22928mm">
                  <v:stroke endcap="square"/>
                  <v:path arrowok="t" textboxrect="0,0,432054,3117595"/>
                </v:shape>
                <v:shape id="Shape 10" o:spid="_x0000_s1034" style="position:absolute;left:4320;top:41940;width:18720;height:31176;visibility:visible;mso-wrap-style:square;v-text-anchor:top" coordsize="1871979,311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J/cYA&#10;AADbAAAADwAAAGRycy9kb3ducmV2LnhtbESPT2vCQBDF74V+h2WEXopuKiISXUVbFEE8+B9vQ3ZM&#10;gtnZkN1q+u07h0JvM7w37/1mMmtdpR7UhNKzgY9eAoo487bk3MDxsOyOQIWIbLHyTAZ+KMBs+voy&#10;wdT6J+/osY+5khAOKRooYqxTrUNWkMPQ8zWxaDffOIyyNrm2DT4l3FW6nyRD7bBkaSiwps+Csvv+&#10;2xnYnM73w3pxfd9cvsrBArfnZeivjHnrtPMxqEht/Df/Xa+t4Au9/CID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FJ/cYAAADbAAAADwAAAAAAAAAAAAAAAACYAgAAZHJz&#10;L2Rvd25yZXYueG1sUEsFBgAAAAAEAAQA9QAAAIsDAAAAAA==&#10;" path="m,3117595r1871979,l1871979,,,,,3117595xe" filled="f" strokeweight=".22928mm">
                  <v:stroke endcap="square"/>
                  <v:path arrowok="t" textboxrect="0,0,1871979,3117595"/>
                </v:shape>
                <v:shape id="Shape 11" o:spid="_x0000_s1035" style="position:absolute;left:23040;top:41940;width:39600;height:31176;visibility:visible;mso-wrap-style:square;v-text-anchor:top" coordsize="3959986,311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MMcQA&#10;AADbAAAADwAAAGRycy9kb3ducmV2LnhtbERPS2vCQBC+F/oflin0UnSTHiREN6EVLGJBiIrQ25Cd&#10;PGh2Nma3Mf33bqHgbT6+56zyyXRipMG1lhXE8wgEcWl1y7WC03EzS0A4j6yxs0wKfslBnj0+rDDV&#10;9soFjQdfixDCLkUFjfd9KqUrGzLo5rYnDlxlB4M+wKGWesBrCDedfI2ihTTYcmhosKd1Q+X34cco&#10;qD6izy55Kff2K15vd7tzsefLu1LPT9PbEoSnyd/F/+6tDvNj+PslH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AzDHEAAAA2wAAAA8AAAAAAAAAAAAAAAAAmAIAAGRycy9k&#10;b3ducmV2LnhtbFBLBQYAAAAABAAEAPUAAACJAwAAAAA=&#10;" path="m,3117595r3959986,l3959986,,,,,3117595xe" filled="f" strokeweight=".22928mm">
                  <v:stroke endcap="square"/>
                  <v:path arrowok="t" textboxrect="0,0,3959986,3117595"/>
                </v:shape>
                <v:shape id="Shape 12" o:spid="_x0000_s1036" style="position:absolute;top:73116;width:0;height:2160;visibility:visible;mso-wrap-style:square;v-text-anchor:top" coordsize="0,216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XGTcEA&#10;AADbAAAADwAAAGRycy9kb3ducmV2LnhtbERPzWoCMRC+F3yHMIK3mtWDlK1RRFRkaQ91fYBhM91d&#10;3UziJrrx7ZtCobf5+H5nuY6mEw/qfWtZwWyagSCurG65VnAu969vIHxA1thZJgVP8rBejV6WmGs7&#10;8Bc9TqEWKYR9jgqaEFwupa8aMuin1hEn7tv2BkOCfS11j0MKN52cZ9lCGmw5NTToaNtQdT3djQLj&#10;4uH2GXcLt9P6PMiP4lIWhVKTcdy8gwgUw7/4z33Uaf4c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Fxk3BAAAA2wAAAA8AAAAAAAAAAAAAAAAAmAIAAGRycy9kb3du&#10;cmV2LnhtbFBLBQYAAAAABAAEAPUAAACGAwAAAAA=&#10;" path="m,216026l,e" filled="f" strokeweight=".22928mm">
                  <v:stroke endcap="square"/>
                  <v:path arrowok="t" textboxrect="0,0,0,216026"/>
                </v:shape>
                <v:shape id="Shape 13" o:spid="_x0000_s1037" style="position:absolute;left:4320;top:73116;width:0;height:2160;visibility:visible;mso-wrap-style:square;v-text-anchor:top" coordsize="0,216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j1sEA&#10;AADbAAAADwAAAGRycy9kb3ducmV2LnhtbERP22oCMRB9F/yHMELfNKuCyNYopajIUh+8fMCwme5u&#10;u5nETXTTv2+EQt/mcK6z2kTTigd1vrGsYDrJQBCXVjdcKbheduMlCB+QNbaWScEPedish4MV5tr2&#10;fKLHOVQihbDPUUEdgsul9GVNBv3EOuLEfdrOYEiwq6TusE/hppWzLFtIgw2nhhodvddUfp/vRoFx&#10;cX87xu3CbbW+9vKj+LoUhVIvo/j2CiJQDP/iP/dBp/lzeP6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JY9bBAAAA2wAAAA8AAAAAAAAAAAAAAAAAmAIAAGRycy9kb3du&#10;cmV2LnhtbFBLBQYAAAAABAAEAPUAAACGAwAAAAA=&#10;" path="m,216026l,e" filled="f" strokeweight=".22928mm">
                  <v:stroke endcap="square"/>
                  <v:path arrowok="t" textboxrect="0,0,0,216026"/>
                </v:shape>
                <v:shape id="Shape 14" o:spid="_x0000_s1038" style="position:absolute;top:73116;width:4320;height:0;visibility:visible;mso-wrap-style:square;v-text-anchor:top" coordsize="432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21MAA&#10;AADbAAAADwAAAGRycy9kb3ducmV2LnhtbERPS4vCMBC+C/6HMAvebLqiol2jqKB4W6yP89DMtsVm&#10;UprY1n9vFhb2Nh/fc1ab3lSipcaVlhV8RjEI4szqknMF18thvADhPLLGyjIpeJGDzXo4WGGibcdn&#10;alOfixDCLkEFhfd1IqXLCjLoIlsTB+7HNgZ9gE0udYNdCDeVnMTxXBosOTQUWNO+oOyRPo2Cx23W&#10;3e9Vf7juvpfLZ1rz7diyUqOPfvsFwlPv/8V/7pMO86fw+0s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Q21MAAAADbAAAADwAAAAAAAAAAAAAAAACYAgAAZHJzL2Rvd25y&#10;ZXYueG1sUEsFBgAAAAAEAAQA9QAAAIUDAAAAAA==&#10;" path="m,l432054,e" filled="f" strokeweight=".22928mm">
                  <v:stroke endcap="square"/>
                  <v:path arrowok="t" textboxrect="0,0,432054,0"/>
                </v:shape>
                <v:shape id="Shape 15" o:spid="_x0000_s1039" style="position:absolute;left:4320;top:73116;width:58320;height:2160;visibility:visible;mso-wrap-style:square;v-text-anchor:top" coordsize="5831966,216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SMsIA&#10;AADbAAAADwAAAGRycy9kb3ducmV2LnhtbERPTYvCMBC9C/sfwix4EU1XUNeuUYogeBKsetjb2Ixt&#10;d5tJaaKt/94Igrd5vM9ZrDpTiRs1rrSs4GsUgSDOrC45V3A8bIbfIJxH1lhZJgV3crBafvQWGGvb&#10;8p5uqc9FCGEXo4LC+zqW0mUFGXQjWxMH7mIbgz7AJpe6wTaEm0qOo2gqDZYcGgqsaV1Q9p9ejYLz&#10;LpkNTvPkPJtvT/lfm15/Nxkp1f/skh8Qnjr/Fr/cWx3mT+D5Sz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FIywgAAANsAAAAPAAAAAAAAAAAAAAAAAJgCAABkcnMvZG93&#10;bnJldi54bWxQSwUGAAAAAAQABAD1AAAAhwMAAAAA&#10;" path="m,216026r5831966,l5831966,,,,,216026xe" filled="f" strokeweight=".22928mm">
                  <v:stroke endcap="square"/>
                  <v:path arrowok="t" textboxrect="0,0,5831966,216026"/>
                </v:shape>
                <w10:wrap anchorx="page"/>
              </v:group>
            </w:pict>
          </mc:Fallback>
        </mc:AlternateConten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after="3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EE4E4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калық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3737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ілер</w:t>
      </w:r>
    </w:p>
    <w:p w:rsidR="008D3D30" w:rsidRPr="00373751" w:rsidRDefault="008D3D30" w:rsidP="003A65A3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after="10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515B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8D3D30" w:rsidRPr="00373751" w:rsidRDefault="00515B20">
      <w:pPr>
        <w:spacing w:after="12" w:line="2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73751">
        <w:rPr>
          <w:rFonts w:ascii="Times New Roman" w:hAnsi="Times New Roman" w:cs="Times New Roman"/>
          <w:sz w:val="28"/>
          <w:szCs w:val="28"/>
        </w:rPr>
        <w:br w:type="column"/>
      </w:r>
    </w:p>
    <w:p w:rsidR="008D3D30" w:rsidRPr="00373751" w:rsidRDefault="00E2509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Препарат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болып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табылады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воспроизведенным,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осыған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байланысты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талап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етілмейді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линика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ға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дейінгі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зерттеулерді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жүргізу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proofErr w:type="spellStart"/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Клиника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ға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дейінгі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зерттеулер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бойынша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әдеби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шолу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ұсынылды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D3D30" w:rsidRPr="00373751" w:rsidRDefault="008D3D30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E4E40" w:rsidRPr="00373751" w:rsidRDefault="00EE4E40">
      <w:pPr>
        <w:widowControl w:val="0"/>
        <w:spacing w:line="239" w:lineRule="auto"/>
        <w:ind w:right="45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EE4E40" w:rsidRPr="00EE4E40" w:rsidRDefault="00EE4E40" w:rsidP="003A65A3">
      <w:pPr>
        <w:shd w:val="clear" w:color="auto" w:fill="F4F5F6"/>
        <w:spacing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/>
        </w:rPr>
      </w:pPr>
      <w:r w:rsidRPr="0037375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/>
        </w:rPr>
        <w:t>«</w:t>
      </w:r>
      <w:r w:rsidRPr="00EE4E40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/>
        </w:rPr>
        <w:t>Дәрілік заттар мен медициналық бұйымдарға сараптама жүргізу қағидаларын бекіту туралы</w:t>
      </w:r>
      <w:r w:rsidRPr="0037375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/>
        </w:rPr>
        <w:t xml:space="preserve">» № 736 бұйрығының  № 4  қосымшасының, 1-тармағының 1.1-тт. сәйкес препарат қайта өндірілген дәрілік препарат болып табылады, қайта өндірілген </w:t>
      </w:r>
      <w:r w:rsidR="003A65A3" w:rsidRPr="00373751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/>
        </w:rPr>
        <w:t xml:space="preserve">дәрілік препараттар үшін осы фармацевтикалық әзірлемелер бірегей немесе референтті препараттармен салыстырымалы түрде ұсынылады. </w:t>
      </w:r>
    </w:p>
    <w:p w:rsidR="008D3D30" w:rsidRPr="00373751" w:rsidRDefault="00EE4E40" w:rsidP="003A65A3">
      <w:pPr>
        <w:widowControl w:val="0"/>
        <w:spacing w:line="239" w:lineRule="auto"/>
        <w:ind w:right="45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8D3D30" w:rsidRPr="00373751">
          <w:pgSz w:w="11905" w:h="16837"/>
          <w:pgMar w:top="563" w:right="842" w:bottom="1134" w:left="1194" w:header="0" w:footer="0" w:gutter="0"/>
          <w:cols w:num="2" w:space="708" w:equalWidth="0">
            <w:col w:w="3099" w:space="528"/>
            <w:col w:w="6241" w:space="0"/>
          </w:cols>
        </w:sectPr>
      </w:pP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3A65A3"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Генериктің бастапқы (референттік) препаратымен баламалылығын дәлелдеу үшін генериктің тіркеу дерекнамасында КД форматының 5 модулінде фармакологиялық қасиеттері мен дәрілік нысанына байланысты салыстырмалы фармакокинетикалық зерттеу (биоэквиваленттілікті зерттеу) есебі ұсынылады. Өтініш беруші биоэквиваленттілікті өзінің зерттеуін ұсынды, оған сәйкес мәлімделген препарат түпнұсқа препаратқа берілген.</w:t>
      </w:r>
    </w:p>
    <w:p w:rsidR="008D3D30" w:rsidRPr="00373751" w:rsidRDefault="008D3D30">
      <w:pPr>
        <w:spacing w:after="70" w:line="240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EE4E40" w:rsidRPr="00373751" w:rsidRDefault="00EE4E40">
      <w:pPr>
        <w:widowControl w:val="0"/>
        <w:spacing w:line="240" w:lineRule="auto"/>
        <w:ind w:left="3628" w:right="99" w:hanging="294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8D3D30" w:rsidRPr="00373751" w:rsidRDefault="003A65A3">
      <w:pPr>
        <w:widowControl w:val="0"/>
        <w:spacing w:line="240" w:lineRule="auto"/>
        <w:ind w:left="3628" w:right="99" w:hanging="294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Пайда-қауіпті бағалау</w:t>
      </w:r>
      <w:r w:rsidR="00515B20"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Препаратты дәрігердің тағайындауына сәйкес қолданған және нұсқаулықты сақтаған жағдайда "пайда/қауіп" қатынасы қолайлы.</w:t>
      </w:r>
    </w:p>
    <w:p w:rsidR="008D3D30" w:rsidRPr="00373751" w:rsidRDefault="008D3D30">
      <w:pPr>
        <w:spacing w:after="12" w:line="20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A65A3" w:rsidRPr="00373751" w:rsidRDefault="003A65A3" w:rsidP="003A65A3">
      <w:pPr>
        <w:widowControl w:val="0"/>
        <w:spacing w:line="240" w:lineRule="auto"/>
        <w:ind w:left="3628" w:right="47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Пайда/қауіпті бағалауды ескере отырып,  препаратты  мынадай кезде ұсынылмайды:</w: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D3D30" w:rsidRPr="00373751" w:rsidRDefault="008D3D30">
      <w:pPr>
        <w:spacing w:after="16" w:line="22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D3D30" w:rsidRPr="00373751" w:rsidRDefault="008D3D30">
      <w:pPr>
        <w:rPr>
          <w:rFonts w:ascii="Times New Roman" w:hAnsi="Times New Roman" w:cs="Times New Roman"/>
          <w:sz w:val="28"/>
          <w:szCs w:val="28"/>
          <w:lang w:val="kk-KZ"/>
        </w:rPr>
        <w:sectPr w:rsidR="008D3D30" w:rsidRPr="00373751">
          <w:type w:val="continuous"/>
          <w:pgSz w:w="11905" w:h="16837"/>
          <w:pgMar w:top="563" w:right="842" w:bottom="1134" w:left="1194" w:header="0" w:footer="0" w:gutter="0"/>
          <w:cols w:space="708"/>
        </w:sectPr>
      </w:pPr>
    </w:p>
    <w:p w:rsidR="008D3D30" w:rsidRPr="00373751" w:rsidRDefault="00515B20">
      <w:pPr>
        <w:widowControl w:val="0"/>
        <w:spacing w:before="9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</w:t>
      </w: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8D3D30">
      <w:pPr>
        <w:spacing w:after="7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D3D30" w:rsidRPr="00373751" w:rsidRDefault="00515B20">
      <w:pPr>
        <w:widowControl w:val="0"/>
        <w:tabs>
          <w:tab w:val="left" w:pos="6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7375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37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proofErr w:type="spellEnd"/>
      <w:r w:rsidR="007E176B"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лог</w:t>
      </w:r>
      <w:r w:rsidR="007E176B" w:rsidRPr="003737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иялық қадағалау</w:t>
      </w:r>
    </w:p>
    <w:p w:rsidR="007E176B" w:rsidRPr="00307837" w:rsidRDefault="00515B20" w:rsidP="007E176B">
      <w:pPr>
        <w:widowControl w:val="0"/>
        <w:spacing w:line="240" w:lineRule="auto"/>
        <w:ind w:right="118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</w:pPr>
      <w:r w:rsidRPr="00307837">
        <w:rPr>
          <w:rFonts w:ascii="Times New Roman" w:hAnsi="Times New Roman" w:cs="Times New Roman"/>
          <w:sz w:val="28"/>
          <w:szCs w:val="28"/>
          <w:lang w:val="kk-KZ"/>
        </w:rPr>
        <w:br w:type="column"/>
      </w:r>
      <w:r w:rsidR="007E176B" w:rsidRPr="003078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lastRenderedPageBreak/>
        <w:t>Белсенді затқа немесе препараттың кез келген қосалқы затына аса жоғары сезімталдық. Жіті подагра ұстамасы, сондай-ақ к және зәрде зәр қышқылының жоғары концентрациясы бар емделушілерге</w:t>
      </w:r>
    </w:p>
    <w:p w:rsidR="007E176B" w:rsidRPr="00307837" w:rsidRDefault="007E176B" w:rsidP="007E176B">
      <w:pPr>
        <w:widowControl w:val="0"/>
        <w:spacing w:line="240" w:lineRule="auto"/>
        <w:ind w:right="118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</w:pPr>
      <w:r w:rsidRPr="003078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Несеп-тас ауруы</w:t>
      </w:r>
    </w:p>
    <w:p w:rsidR="007E176B" w:rsidRPr="00307837" w:rsidRDefault="007E176B" w:rsidP="007E176B">
      <w:pPr>
        <w:widowControl w:val="0"/>
        <w:spacing w:line="240" w:lineRule="auto"/>
        <w:ind w:right="1185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</w:pPr>
      <w:r w:rsidRPr="003078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Созылмалы бүйрек жеткіліксіздігі</w:t>
      </w:r>
    </w:p>
    <w:p w:rsidR="008D3D30" w:rsidRPr="00373751" w:rsidRDefault="007E176B" w:rsidP="007E176B">
      <w:pPr>
        <w:widowControl w:val="0"/>
        <w:spacing w:line="240" w:lineRule="auto"/>
        <w:ind w:right="118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D3D30" w:rsidRPr="00373751">
          <w:type w:val="continuous"/>
          <w:pgSz w:w="11905" w:h="16837"/>
          <w:pgMar w:top="563" w:right="842" w:bottom="1134" w:left="1194" w:header="0" w:footer="0" w:gutter="0"/>
          <w:cols w:num="2" w:space="708" w:equalWidth="0">
            <w:col w:w="2222" w:space="1981"/>
            <w:col w:w="5665" w:space="0"/>
          </w:cols>
        </w:sectPr>
      </w:pP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Жүктілік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кезеңінде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және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6 </w:t>
      </w:r>
      <w:proofErr w:type="spellStart"/>
      <w:proofErr w:type="gram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жас</w:t>
      </w:r>
      <w:proofErr w:type="gram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қа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дейінгі</w:t>
      </w:r>
      <w:proofErr w:type="spellEnd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бала </w:t>
      </w:r>
      <w:proofErr w:type="spellStart"/>
      <w:r w:rsidRPr="003737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емізгенде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8D3D30" w:rsidRPr="00373751">
        <w:trPr>
          <w:cantSplit/>
          <w:trHeight w:hRule="exact" w:val="8146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D3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7E176B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D30" w:rsidRPr="00373751" w:rsidRDefault="008D3D30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76B" w:rsidRPr="00373751" w:rsidRDefault="00534FCD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«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Валента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»</w:t>
            </w:r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бекітілгенін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және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олардың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барлық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өнімдеріне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қолданылатынын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растайды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.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Фармакологиялық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қадағалау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жүйесінің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Мастер-файлы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мына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мекенжайда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сақталады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: 11953,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Мәскеу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қ.,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Генерал </w:t>
            </w:r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Дорохов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 көш.,</w:t>
            </w:r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18, 2-бет</w:t>
            </w:r>
            <w:proofErr w:type="gram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.</w:t>
            </w:r>
            <w:proofErr w:type="gramEnd"/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Жаһандық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 w:rsid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қадағ</w:t>
            </w:r>
            <w:proofErr w:type="gram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алау</w:t>
            </w:r>
            <w:proofErr w:type="gram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жауапты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уәкілетті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тұлға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-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Киселев Иван Владимирович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11953,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Мәскеу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қ., </w:t>
            </w:r>
            <w:r w:rsidR="00534FCD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Генерал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Дорохов</w:t>
            </w:r>
            <w:r w:rsidR="00534FCD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 көш.,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18,  2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-бет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+7 495 933 6080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8 968 966 3361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pharmakonadzor@valentapharm.com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373751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Жергілікті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логиялық қадағалау </w:t>
            </w:r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үшін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жауапты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у</w:t>
            </w:r>
            <w:proofErr w:type="gram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әкілетті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тұлға</w:t>
            </w:r>
            <w:proofErr w:type="spell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- </w:t>
            </w:r>
            <w:proofErr w:type="gramStart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Марчук</w:t>
            </w:r>
            <w:proofErr w:type="gramEnd"/>
            <w:r w:rsidR="007E176B"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Юлия Сергеевна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373751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Қазақстан Республикасы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, 050009, Алматы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Алмал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ы ауданы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, 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й даңғылы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,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№151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-үй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 xml:space="preserve">офис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№1102,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"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Валента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Азия"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ЖШС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Байланыс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телефоны: +7 727 3341551 (52)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эл.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пошта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: Yuliya.Marchyuk@valentapharm.com</w:t>
            </w:r>
          </w:p>
          <w:p w:rsidR="007E176B" w:rsidRPr="00373751" w:rsidRDefault="007E176B" w:rsidP="007E176B">
            <w:pPr>
              <w:widowControl w:val="0"/>
              <w:spacing w:line="240" w:lineRule="auto"/>
              <w:ind w:left="60" w:right="97"/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</w:pPr>
          </w:p>
          <w:p w:rsidR="008D3D30" w:rsidRPr="00373751" w:rsidRDefault="007E176B" w:rsidP="007E176B">
            <w:pPr>
              <w:widowControl w:val="0"/>
              <w:spacing w:line="240" w:lineRule="auto"/>
              <w:ind w:left="60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ҚБЖ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ұсыну</w:t>
            </w:r>
            <w:proofErr w:type="spellEnd"/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талап етілмейді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, препарат 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val="kk-KZ"/>
              </w:rPr>
              <w:t>қайта өндірілген болып табылады</w:t>
            </w:r>
            <w:r w:rsidRPr="0037375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.</w:t>
            </w:r>
          </w:p>
        </w:tc>
      </w:tr>
      <w:tr w:rsidR="00691F7B" w:rsidRPr="00373751" w:rsidTr="00691F7B">
        <w:trPr>
          <w:cantSplit/>
          <w:trHeight w:hRule="exact" w:val="1089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 w:rsidP="000B045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7B" w:rsidRPr="00373751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7B" w:rsidRPr="00373751" w:rsidRDefault="00691F7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F7B" w:rsidRPr="00373751" w:rsidRDefault="00691F7B">
            <w:pPr>
              <w:spacing w:after="14"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7B" w:rsidRPr="00373751" w:rsidRDefault="00691F7B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3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Рецептісіз </w:t>
            </w:r>
          </w:p>
        </w:tc>
      </w:tr>
    </w:tbl>
    <w:p w:rsidR="008D3D30" w:rsidRPr="00373751" w:rsidRDefault="00515B20">
      <w:pPr>
        <w:rPr>
          <w:rFonts w:ascii="Times New Roman" w:hAnsi="Times New Roman" w:cs="Times New Roman"/>
          <w:sz w:val="28"/>
          <w:szCs w:val="28"/>
        </w:rPr>
      </w:pPr>
      <w:r w:rsidRPr="0037375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76EDE784" wp14:editId="1FD7A645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D3D30" w:rsidRPr="00AB4BD1" w:rsidRDefault="00515B2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AB4BD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8D3D30" w:rsidRPr="00AB4BD1" w:rsidRDefault="00515B20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AB4BD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8D3D30" w:rsidRPr="00AB4BD1" w:rsidRDefault="0030783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307837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515B20" w:rsidRPr="00AB4BD1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" o:allowincell="f" stroked="f">
                <v:textbox>
                  <w:txbxContent>
                    <w:p w:rsidR="008D3D30" w:rsidRPr="00AB4BD1" w:rsidRDefault="00515B20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AB4BD1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8D3D30" w:rsidRPr="00AB4BD1" w:rsidRDefault="00515B20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AB4BD1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8D3D30" w:rsidRPr="00AB4BD1" w:rsidRDefault="00D34EE4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515B20" w:rsidRPr="00AB4BD1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D3D30" w:rsidRPr="00373751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30"/>
    <w:rsid w:val="00150B27"/>
    <w:rsid w:val="00156CF5"/>
    <w:rsid w:val="00307837"/>
    <w:rsid w:val="00373751"/>
    <w:rsid w:val="003A65A3"/>
    <w:rsid w:val="0042589C"/>
    <w:rsid w:val="00431361"/>
    <w:rsid w:val="004E5786"/>
    <w:rsid w:val="00515B20"/>
    <w:rsid w:val="00534FCD"/>
    <w:rsid w:val="006211BF"/>
    <w:rsid w:val="00685555"/>
    <w:rsid w:val="00691F7B"/>
    <w:rsid w:val="007E176B"/>
    <w:rsid w:val="00823049"/>
    <w:rsid w:val="008832F6"/>
    <w:rsid w:val="008D3D30"/>
    <w:rsid w:val="00AB4BD1"/>
    <w:rsid w:val="00AD2551"/>
    <w:rsid w:val="00B2748C"/>
    <w:rsid w:val="00BE2B49"/>
    <w:rsid w:val="00C81781"/>
    <w:rsid w:val="00D34EE4"/>
    <w:rsid w:val="00E25098"/>
    <w:rsid w:val="00EE4E40"/>
    <w:rsid w:val="00EF26F1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7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7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Маркабаева Жанерке Сейлгазыевна</cp:lastModifiedBy>
  <cp:revision>2</cp:revision>
  <dcterms:created xsi:type="dcterms:W3CDTF">2020-07-14T13:17:00Z</dcterms:created>
  <dcterms:modified xsi:type="dcterms:W3CDTF">2020-07-14T13:17:00Z</dcterms:modified>
</cp:coreProperties>
</file>